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68DBB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08F0F709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4060C0B3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11FD2733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6A5C2A93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3FAE3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鸡环审〔2025〕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66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 w14:paraId="56ACA6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auto"/>
        </w:rPr>
      </w:pPr>
    </w:p>
    <w:p w14:paraId="6E654E9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关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  <w:t>于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eastAsia="zh-CN"/>
        </w:rPr>
        <w:t xml:space="preserve">平岗煤矿燃煤锅炉及热风炉改造项目 </w:t>
      </w:r>
    </w:p>
    <w:p w14:paraId="1C5F8CC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eastAsia="zh-CN"/>
        </w:rPr>
        <w:t>环境影响报告表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的批复</w:t>
      </w:r>
    </w:p>
    <w:p w14:paraId="4A9F9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23CE6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黑龙江龙煤鸡西矿业有限责任公司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688AA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你单位《关于申请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平岗煤矿燃煤锅炉及热风炉改造项目 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环境影响评价文件的函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》及相关材料收悉，经研究，批复如下。</w:t>
      </w:r>
    </w:p>
    <w:p w14:paraId="7D363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一、项目基本情况</w:t>
      </w:r>
    </w:p>
    <w:p w14:paraId="52B5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该项目属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改建工程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位于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鸡西市梨树区平岗街道平岗煤矿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现有场地内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不新增用地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项目现有工业广场锅炉房内拆除3台10t/h燃煤蒸汽锅炉、1台6t/h燃煤蒸汽锅炉、1台4.2MW燃煤热水锅炉，新建3台10t/h生物质蒸汽锅炉、1台4.2MW生物质热水锅炉。现有下料井热风炉房内拆除4台240万kcal/h燃煤热风炉，新建2台240万kcal/h生物质热风炉。现有排矸井热风炉房内拆除2台360万kcal/h燃煤热风炉，新建2台420万kcal/h生物质热风炉。新建配套密闭灰渣库和燃料库等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项目总投资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1027.24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万元，其中环保投资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万元。</w:t>
      </w:r>
    </w:p>
    <w:p w14:paraId="21E84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在全面落实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《平岗煤矿燃煤锅炉及热风炉改造项目环境影响报告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（以下简称《报告</w:t>
      </w:r>
      <w:r>
        <w:rPr>
          <w:rFonts w:hint="eastAsia" w:eastAsia="仿宋_GB2312" w:cs="Times New Roman"/>
          <w:sz w:val="32"/>
          <w:szCs w:val="32"/>
          <w:lang w:eastAsia="zh-CN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》）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和本批复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提出的各项生态环境保护措施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，对环境的不利影响可以得到缓解和控制。我局原则同意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报告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中的环境影响评价总体结论和各项生态环境保护措施。</w:t>
      </w:r>
    </w:p>
    <w:p w14:paraId="3CED4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二、项目建设的主要生态环境影响及保护措施</w:t>
      </w:r>
    </w:p>
    <w:p w14:paraId="4478B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（一）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大气环境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影响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及保护措施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1台4.2MW热水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锅炉烟气采用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旋风除尘器和布袋除尘器处理后经50米烟囱排放，3台10t/h蒸汽锅炉烟气分别采用旋风除尘器和布袋除尘器处理后经50米烟囱排放,锅炉烟气各项污染物排放浓度应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符合《锅炉大气污染物排放标准》（GB13271-2014）要求。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4台热风炉烟气均采用布袋除尘器处理后分别经15米烟囱排放，热风炉烟气各项污染物排放浓度应符合《工业炉窑大气污染物排放标准》（GB9078-1996）要求，热风炉周边颗粒物排放浓度应符合《工业炉窑大气污染物排放标准》（GB9078-1996）要求。锅炉除渣过程在密闭锅炉房及热风炉房内完成，灰渣存储于密闭灰渣库，及时洒水降尘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厂界颗粒物排放浓度应符合《大气污染物综合排放标准》（GB16297-1996）要求。</w:t>
      </w:r>
    </w:p>
    <w:p w14:paraId="01873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ascii="方正楷体_GBK" w:hAnsi="方正楷体_GBK" w:eastAsia="方正楷体_GBK" w:cs="方正楷体_GBK"/>
          <w:sz w:val="32"/>
          <w:szCs w:val="32"/>
        </w:rPr>
        <w:t>）水环境影响及保护措施。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项目不新增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员工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，不新增生活污水。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锅炉排污水及软化处理废水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收集后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暂存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厂区防渗储水罐内，定期拉运至平岗生活污水处理厂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处理。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项目应严格落实地下水保护措施，做好新建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燃料库和灰渣库等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区域防渗处理。</w:t>
      </w:r>
    </w:p>
    <w:p w14:paraId="05465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（三）声环境影响及保护措施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项目应选用低噪声设备，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采取厂房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隔声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和基础减振等措施，厂界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噪声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应符合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《工业企业厂界环境噪声排放标准》（GB12348-2008）中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类标准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限值要求。</w:t>
      </w:r>
    </w:p>
    <w:p w14:paraId="084F7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eastAsia" w:eastAsia="方正楷体_GBK" w:cs="方正楷体_GBK"/>
          <w:color w:val="auto"/>
          <w:kern w:val="0"/>
          <w:sz w:val="32"/>
          <w:szCs w:val="32"/>
          <w:lang w:val="en-US" w:eastAsia="zh-CN"/>
        </w:rPr>
        <w:t>固体废物环境影响及保护措施</w:t>
      </w:r>
      <w:r>
        <w:rPr>
          <w:rFonts w:hint="eastAsia" w:eastAsia="方正楷体_GBK" w:cs="方正楷体_GBK"/>
          <w:color w:val="auto"/>
          <w:sz w:val="32"/>
          <w:szCs w:val="32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项目</w:t>
      </w:r>
      <w:r>
        <w:rPr>
          <w:rFonts w:ascii="仿宋_GB2312" w:eastAsia="仿宋_GB2312" w:cs="仿宋_GB2312"/>
          <w:color w:val="auto"/>
          <w:sz w:val="32"/>
          <w:szCs w:val="32"/>
        </w:rPr>
        <w:t>拆除的原有锅炉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和热风炉</w:t>
      </w:r>
      <w:r>
        <w:rPr>
          <w:rFonts w:ascii="仿宋_GB2312" w:eastAsia="仿宋_GB2312" w:cs="仿宋_GB2312"/>
          <w:color w:val="auto"/>
          <w:sz w:val="32"/>
          <w:szCs w:val="32"/>
        </w:rPr>
        <w:t>及配套设备外售处置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ascii="仿宋_GB2312" w:eastAsia="仿宋_GB2312" w:cs="仿宋_GB2312"/>
          <w:color w:val="auto"/>
          <w:sz w:val="32"/>
          <w:szCs w:val="32"/>
        </w:rPr>
        <w:t>锅炉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和热风炉</w:t>
      </w:r>
      <w:r>
        <w:rPr>
          <w:rFonts w:ascii="仿宋_GB2312" w:eastAsia="仿宋_GB2312" w:cs="仿宋_GB2312"/>
          <w:color w:val="auto"/>
          <w:sz w:val="32"/>
          <w:szCs w:val="32"/>
        </w:rPr>
        <w:t>灰渣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及布袋除尘器收尘</w:t>
      </w:r>
      <w:r>
        <w:rPr>
          <w:rFonts w:ascii="仿宋_GB2312" w:eastAsia="仿宋_GB2312" w:cs="仿宋_GB2312"/>
          <w:color w:val="auto"/>
          <w:sz w:val="32"/>
          <w:szCs w:val="32"/>
        </w:rPr>
        <w:t>暂存于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密闭灰渣库</w:t>
      </w:r>
      <w:r>
        <w:rPr>
          <w:rFonts w:asci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定期外售综合利用。废离子交换树脂和废布袋由厂家更换后直接带走处置。废机油、废含油抹布和手套分别收集后暂存于原有危废贮存库，定期委托有资质单位处置。</w:t>
      </w:r>
    </w:p>
    <w:p w14:paraId="38CEE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）环境风险及保护措施。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项目应严格落实《报告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》中提出的风险防范措施，编制环境风险应急预案，加强风险点位预警、预防，防止风险事故发生。</w:t>
      </w:r>
      <w:bookmarkStart w:id="0" w:name="_GoBack"/>
      <w:bookmarkEnd w:id="0"/>
    </w:p>
    <w:p w14:paraId="3FB34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在启动生产设施或者在实际排污之前，建设单位应依法履行排污许可手续。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项目建成后，应按规定程序实施竣工环境保护验收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EE02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、《</w:t>
      </w:r>
      <w:r>
        <w:rPr>
          <w:rFonts w:ascii="Times New Roman" w:hAnsi="Times New Roman" w:eastAsia="仿宋_GB2312" w:cs="Times New Roman"/>
          <w:sz w:val="32"/>
          <w:szCs w:val="32"/>
        </w:rPr>
        <w:t>报告</w:t>
      </w:r>
      <w:r>
        <w:rPr>
          <w:rFonts w:hint="eastAsia" w:eastAsia="仿宋_GB2312" w:cs="Times New Roman"/>
          <w:sz w:val="32"/>
          <w:szCs w:val="32"/>
          <w:lang w:eastAsia="zh-CN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》经批准后，项目的性质、规模、地点或者污染</w:t>
      </w:r>
      <w:r>
        <w:rPr>
          <w:rFonts w:hint="eastAsia" w:eastAsia="仿宋_GB2312" w:cs="Times New Roman"/>
          <w:sz w:val="32"/>
          <w:szCs w:val="32"/>
          <w:lang w:eastAsia="zh-CN"/>
        </w:rPr>
        <w:t>防治</w:t>
      </w:r>
      <w:r>
        <w:rPr>
          <w:rFonts w:ascii="Times New Roman" w:hAnsi="Times New Roman" w:eastAsia="仿宋_GB2312" w:cs="Times New Roman"/>
          <w:sz w:val="32"/>
          <w:szCs w:val="32"/>
        </w:rPr>
        <w:t>措施发生重大变动的，应当重新报批该项目的《报告</w:t>
      </w:r>
      <w:r>
        <w:rPr>
          <w:rFonts w:hint="eastAsia" w:eastAsia="仿宋_GB2312" w:cs="Times New Roman"/>
          <w:sz w:val="32"/>
          <w:szCs w:val="32"/>
          <w:lang w:eastAsia="zh-CN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》。自《报告</w:t>
      </w:r>
      <w:r>
        <w:rPr>
          <w:rFonts w:hint="eastAsia" w:eastAsia="仿宋_GB2312" w:cs="Times New Roman"/>
          <w:sz w:val="32"/>
          <w:szCs w:val="32"/>
          <w:lang w:eastAsia="zh-CN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》批复文件批准之日起，如超过5年方决定开工建设的，《报告</w:t>
      </w:r>
      <w:r>
        <w:rPr>
          <w:rFonts w:hint="eastAsia" w:eastAsia="仿宋_GB2312" w:cs="Times New Roman"/>
          <w:sz w:val="32"/>
          <w:szCs w:val="32"/>
          <w:lang w:eastAsia="zh-CN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>》应当重新审核。</w:t>
      </w:r>
    </w:p>
    <w:p w14:paraId="3B017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梨树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报告表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和批复文件送至鸡西市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梨树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2F5597"/>
          <w:sz w:val="32"/>
          <w:szCs w:val="32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</w:t>
      </w:r>
    </w:p>
    <w:p w14:paraId="1014EDDE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spacing w:line="276" w:lineRule="auto"/>
        <w:ind w:left="0" w:firstLine="0"/>
      </w:pPr>
    </w:p>
    <w:p w14:paraId="2BE45C5C"/>
    <w:p w14:paraId="7FF041C4">
      <w:pPr>
        <w:pStyle w:val="2"/>
      </w:pPr>
    </w:p>
    <w:p w14:paraId="6FB168CA"/>
    <w:p w14:paraId="550E8670">
      <w:pPr>
        <w:pStyle w:val="2"/>
      </w:pPr>
    </w:p>
    <w:p w14:paraId="1C9E496C"/>
    <w:p w14:paraId="1A777E34">
      <w:pPr>
        <w:pStyle w:val="2"/>
      </w:pPr>
    </w:p>
    <w:p w14:paraId="6D8938EA"/>
    <w:p w14:paraId="19ECB2FD">
      <w:pPr>
        <w:pStyle w:val="2"/>
      </w:pPr>
    </w:p>
    <w:p w14:paraId="2DF2CDA0"/>
    <w:p w14:paraId="5F95E036">
      <w:pPr>
        <w:pStyle w:val="2"/>
      </w:pPr>
    </w:p>
    <w:p w14:paraId="00192E61"/>
    <w:p w14:paraId="60A20CC8">
      <w:pPr>
        <w:pStyle w:val="2"/>
      </w:pPr>
    </w:p>
    <w:p w14:paraId="74543F12"/>
    <w:p w14:paraId="2F20338B">
      <w:pPr>
        <w:pStyle w:val="2"/>
      </w:pPr>
    </w:p>
    <w:p w14:paraId="14C04BA3"/>
    <w:p w14:paraId="2B85C5DD">
      <w:pPr>
        <w:pStyle w:val="2"/>
      </w:pPr>
    </w:p>
    <w:p w14:paraId="352431A2"/>
    <w:p w14:paraId="0B607EB7">
      <w:pPr>
        <w:pStyle w:val="2"/>
      </w:pPr>
    </w:p>
    <w:p w14:paraId="5AC5B6A3"/>
    <w:p w14:paraId="1CA2C278">
      <w:pPr>
        <w:pStyle w:val="2"/>
      </w:pPr>
    </w:p>
    <w:p w14:paraId="06AB6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鸡西市生态环境局</w:t>
      </w:r>
    </w:p>
    <w:p w14:paraId="4EDF2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pacing w:beforeAutospacing="0" w:afterAutospacing="0" w:line="560" w:lineRule="exact"/>
        <w:jc w:val="right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2025年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564098F5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spacing w:beforeAutospacing="0" w:afterAutospacing="0" w:line="560" w:lineRule="exact"/>
      </w:pPr>
    </w:p>
    <w:p w14:paraId="137783EB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抄 送：鸡西市生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态环境保护综合行政执法局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鸡西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市梨树</w:t>
      </w:r>
      <w:r>
        <w:rPr>
          <w:rFonts w:ascii="Times New Roman" w:hAnsi="Times New Roman" w:eastAsia="仿宋_GB2312" w:cs="Times New Roman"/>
          <w:sz w:val="32"/>
          <w:szCs w:val="32"/>
        </w:rPr>
        <w:t>生态环境局</w:t>
      </w:r>
    </w:p>
    <w:p w14:paraId="65A98687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鸡西市生态环境局办公室</w:t>
      </w:r>
      <w:r>
        <w:rPr>
          <w:rFonts w:hint="eastAsia" w:eastAsia="仿宋_GB2312" w:cs="Times New Roman"/>
          <w:sz w:val="32"/>
          <w:szCs w:val="32"/>
          <w:lang w:eastAsia="zh-CN"/>
        </w:rPr>
        <w:t>（法规科）</w:t>
      </w:r>
      <w:r>
        <w:rPr>
          <w:rFonts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印发</w:t>
      </w:r>
    </w:p>
    <w:p w14:paraId="02A54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9B87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96545BD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496545BD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73ED4CB4"/>
    <w:rsid w:val="7FB9BDD9"/>
    <w:rsid w:val="A1BEA03B"/>
    <w:rsid w:val="A6FDCB72"/>
    <w:rsid w:val="FBFB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after="120"/>
      <w:ind w:left="4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7"/>
    <w:qFormat/>
    <w:uiPriority w:val="0"/>
    <w:pPr>
      <w:ind w:firstLine="420"/>
    </w:pPr>
  </w:style>
  <w:style w:type="character" w:customStyle="1" w:styleId="14">
    <w:name w:val="heading 1 Char"/>
    <w:basedOn w:val="13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3"/>
    <w:link w:val="4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3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18">
    <w:name w:val="List Paragraph"/>
    <w:basedOn w:val="1"/>
    <w:qFormat/>
    <w:uiPriority w:val="0"/>
    <w:pPr>
      <w:ind w:firstLine="200" w:firstLineChars="200"/>
    </w:pPr>
  </w:style>
  <w:style w:type="paragraph" w:customStyle="1" w:styleId="19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9CE012-71E6-41DB-971B-D7ABC0862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0</Words>
  <Characters>1639</Characters>
  <Lines>0</Lines>
  <Paragraphs>34</Paragraphs>
  <TotalTime>42</TotalTime>
  <ScaleCrop>false</ScaleCrop>
  <LinksUpToDate>false</LinksUpToDate>
  <CharactersWithSpaces>2186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2024-08-10T19:25:00Z</dcterms:created>
  <dc:creator>01</dc:creator>
  <cp:lastModifiedBy>greatwall</cp:lastModifiedBy>
  <cp:lastPrinted>2025-02-06T00:54:00Z</cp:lastPrinted>
  <dcterms:modified xsi:type="dcterms:W3CDTF">2025-10-29T13:45:36Z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F2603B43AD7B494A90323579F33BE185_13</vt:lpwstr>
  </property>
</Properties>
</file>